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D10E" w14:textId="4471214D" w:rsidR="00D84D95" w:rsidRPr="00ED323D" w:rsidRDefault="00D84D95" w:rsidP="00D84D95">
      <w:pPr>
        <w:rPr>
          <w:i/>
          <w:iCs/>
        </w:rPr>
      </w:pPr>
      <w:r w:rsidRPr="00F822A4">
        <w:rPr>
          <w:b/>
          <w:bCs/>
          <w:highlight w:val="yellow"/>
        </w:rPr>
        <w:t xml:space="preserve">Tata </w:t>
      </w:r>
      <w:proofErr w:type="spellStart"/>
      <w:r w:rsidRPr="00F822A4">
        <w:rPr>
          <w:b/>
          <w:bCs/>
          <w:highlight w:val="yellow"/>
        </w:rPr>
        <w:t>Curvv</w:t>
      </w:r>
      <w:proofErr w:type="spellEnd"/>
      <w:r w:rsidRPr="00F822A4">
        <w:rPr>
          <w:b/>
          <w:bCs/>
          <w:highlight w:val="yellow"/>
        </w:rPr>
        <w:t xml:space="preserve"> sells over 4</w:t>
      </w:r>
      <w:r w:rsidR="00315C12" w:rsidRPr="00F822A4">
        <w:rPr>
          <w:b/>
          <w:bCs/>
          <w:highlight w:val="yellow"/>
        </w:rPr>
        <w:t>4</w:t>
      </w:r>
      <w:r w:rsidRPr="00F822A4">
        <w:rPr>
          <w:b/>
          <w:bCs/>
          <w:highlight w:val="yellow"/>
        </w:rPr>
        <w:t xml:space="preserve">,000 units in first year </w:t>
      </w:r>
      <w:r w:rsidR="005B3D68" w:rsidRPr="00F822A4">
        <w:rPr>
          <w:b/>
          <w:bCs/>
          <w:highlight w:val="yellow"/>
        </w:rPr>
        <w:t>since launch</w:t>
      </w:r>
      <w:r w:rsidR="005B3D68">
        <w:rPr>
          <w:b/>
          <w:bCs/>
        </w:rPr>
        <w:t xml:space="preserve"> </w:t>
      </w:r>
    </w:p>
    <w:p w14:paraId="67A2DFC3" w14:textId="4BF64639" w:rsidR="00267016" w:rsidRPr="00ED323D" w:rsidRDefault="00267016" w:rsidP="00D84D95">
      <w:pPr>
        <w:rPr>
          <w:i/>
          <w:iCs/>
        </w:rPr>
      </w:pPr>
      <w:r w:rsidRPr="00ED323D">
        <w:rPr>
          <w:i/>
          <w:iCs/>
        </w:rPr>
        <w:t xml:space="preserve">Launched on August 7, 2024, the Tata </w:t>
      </w:r>
      <w:proofErr w:type="spellStart"/>
      <w:r w:rsidRPr="00ED323D">
        <w:rPr>
          <w:i/>
          <w:iCs/>
        </w:rPr>
        <w:t>Curvv</w:t>
      </w:r>
      <w:proofErr w:type="spellEnd"/>
      <w:r w:rsidRPr="00ED323D">
        <w:rPr>
          <w:i/>
          <w:iCs/>
        </w:rPr>
        <w:t xml:space="preserve"> SUV-coupé with electric, petrol and diesel powerplants completes a year in the domestic market</w:t>
      </w:r>
      <w:r w:rsidR="005B3D68" w:rsidRPr="00ED323D">
        <w:rPr>
          <w:i/>
          <w:iCs/>
        </w:rPr>
        <w:t>. The 44,246 units account for an 8% share of Tata Motors’ passenger vehicle wholesales</w:t>
      </w:r>
      <w:r w:rsidR="00ED323D" w:rsidRPr="00ED323D">
        <w:rPr>
          <w:i/>
          <w:iCs/>
        </w:rPr>
        <w:t xml:space="preserve"> and a 10% share of the 461,378 SUVs sold in the past 12 months. </w:t>
      </w:r>
    </w:p>
    <w:p w14:paraId="28F4AC20" w14:textId="61E921EE" w:rsidR="005B3D68" w:rsidRPr="0066009A" w:rsidRDefault="005B3D68" w:rsidP="00D84D95">
      <w:r>
        <w:rPr>
          <w:noProof/>
        </w:rPr>
        <w:drawing>
          <wp:inline distT="0" distB="0" distL="0" distR="0" wp14:anchorId="5E000C6F" wp14:editId="1DF79E0D">
            <wp:extent cx="5731510" cy="818515"/>
            <wp:effectExtent l="0" t="0" r="2540" b="635"/>
            <wp:docPr id="76416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BD9D" w14:textId="4A33A65F" w:rsidR="00ED323D" w:rsidRDefault="0066009A" w:rsidP="00001D1F">
      <w:r w:rsidRPr="0066009A">
        <w:t xml:space="preserve">The Tata </w:t>
      </w:r>
      <w:proofErr w:type="spellStart"/>
      <w:r w:rsidRPr="0066009A">
        <w:t>Curvv</w:t>
      </w:r>
      <w:proofErr w:type="spellEnd"/>
      <w:r w:rsidRPr="0066009A">
        <w:t xml:space="preserve"> SUV-coupé, the eighth model in Tata Motors’ passenger vehicle portfolio and its fifth utility vehicle, </w:t>
      </w:r>
      <w:r w:rsidR="00ED323D">
        <w:t xml:space="preserve">has </w:t>
      </w:r>
      <w:r w:rsidRPr="0066009A">
        <w:t>complet</w:t>
      </w:r>
      <w:r w:rsidR="00ED323D">
        <w:t>ed</w:t>
      </w:r>
      <w:r w:rsidRPr="0066009A">
        <w:t xml:space="preserve"> a year in the domestic market. Launched</w:t>
      </w:r>
      <w:r w:rsidR="00001D1F">
        <w:t xml:space="preserve"> in its</w:t>
      </w:r>
      <w:r w:rsidRPr="0066009A">
        <w:t xml:space="preserve"> </w:t>
      </w:r>
      <w:hyperlink r:id="rId5" w:history="1">
        <w:r w:rsidR="00001D1F" w:rsidRPr="00D84D95">
          <w:rPr>
            <w:rStyle w:val="Hyperlink"/>
            <w:b/>
            <w:bCs/>
          </w:rPr>
          <w:t>electric avatar on August 7</w:t>
        </w:r>
      </w:hyperlink>
      <w:r w:rsidR="00001D1F">
        <w:t xml:space="preserve"> and </w:t>
      </w:r>
      <w:hyperlink r:id="rId6" w:history="1">
        <w:r w:rsidR="00001D1F" w:rsidRPr="00D84D95">
          <w:rPr>
            <w:rStyle w:val="Hyperlink"/>
            <w:b/>
            <w:bCs/>
          </w:rPr>
          <w:t>petrol- and diesel-</w:t>
        </w:r>
        <w:proofErr w:type="spellStart"/>
        <w:r w:rsidR="00001D1F" w:rsidRPr="00D84D95">
          <w:rPr>
            <w:rStyle w:val="Hyperlink"/>
            <w:b/>
            <w:bCs/>
          </w:rPr>
          <w:t>engined</w:t>
        </w:r>
        <w:proofErr w:type="spellEnd"/>
        <w:r w:rsidR="00001D1F" w:rsidRPr="00D84D95">
          <w:rPr>
            <w:rStyle w:val="Hyperlink"/>
            <w:b/>
            <w:bCs/>
          </w:rPr>
          <w:t xml:space="preserve"> variants on September 2</w:t>
        </w:r>
      </w:hyperlink>
      <w:r w:rsidR="00001D1F">
        <w:t xml:space="preserve">, 2024, the </w:t>
      </w:r>
      <w:r w:rsidRPr="0066009A">
        <w:t xml:space="preserve">Tata </w:t>
      </w:r>
      <w:proofErr w:type="spellStart"/>
      <w:r w:rsidRPr="0066009A">
        <w:t>Curvv</w:t>
      </w:r>
      <w:proofErr w:type="spellEnd"/>
      <w:r w:rsidRPr="0066009A">
        <w:t xml:space="preserve"> has sold an estimated </w:t>
      </w:r>
      <w:r w:rsidR="00ED323D">
        <w:t xml:space="preserve">44,246 </w:t>
      </w:r>
      <w:r w:rsidRPr="0066009A">
        <w:t>units</w:t>
      </w:r>
      <w:r w:rsidR="00ED323D">
        <w:t>, which makes for an 8.28</w:t>
      </w:r>
      <w:r w:rsidRPr="0066009A">
        <w:t xml:space="preserve">% </w:t>
      </w:r>
      <w:r w:rsidR="00ED323D">
        <w:t xml:space="preserve">share of </w:t>
      </w:r>
      <w:r w:rsidRPr="0066009A">
        <w:t xml:space="preserve">Tata Motors’ passenger vehicle sales of </w:t>
      </w:r>
      <w:r w:rsidR="00ED323D">
        <w:t>534,116 units</w:t>
      </w:r>
      <w:r w:rsidRPr="0066009A">
        <w:t xml:space="preserve"> </w:t>
      </w:r>
      <w:r w:rsidR="00ED323D">
        <w:t xml:space="preserve">and a 9.58% share of the 461,378 utility vehicles </w:t>
      </w:r>
      <w:r w:rsidR="00001D1F">
        <w:t xml:space="preserve">sold </w:t>
      </w:r>
      <w:r w:rsidRPr="0066009A">
        <w:t xml:space="preserve">between August 2024 and end-July 2025. </w:t>
      </w:r>
    </w:p>
    <w:p w14:paraId="295D3FDB" w14:textId="5A063300" w:rsidR="00001D1F" w:rsidRDefault="00001D1F" w:rsidP="00001D1F">
      <w:r>
        <w:t xml:space="preserve">In FY2025’s last eight months, the </w:t>
      </w:r>
      <w:proofErr w:type="spellStart"/>
      <w:r>
        <w:t>Curvv</w:t>
      </w:r>
      <w:proofErr w:type="spellEnd"/>
      <w:r>
        <w:t xml:space="preserve"> sold 34,019 units and contributed 7.86% to Tata Motors’ UV dispatches of 432,667 units. The’s</w:t>
      </w:r>
      <w:r>
        <w:t xml:space="preserve"> </w:t>
      </w:r>
      <w:proofErr w:type="spellStart"/>
      <w:r>
        <w:t>Currv</w:t>
      </w:r>
      <w:proofErr w:type="spellEnd"/>
      <w:r>
        <w:t xml:space="preserve"> highest </w:t>
      </w:r>
      <w:r>
        <w:t xml:space="preserve">monthly sales to date were in </w:t>
      </w:r>
      <w:r>
        <w:t xml:space="preserve">festive October </w:t>
      </w:r>
      <w:r>
        <w:t xml:space="preserve">2024 </w:t>
      </w:r>
      <w:r>
        <w:t>(5,351 units), which remains its best monthly score in its 12 months of market presence</w:t>
      </w:r>
      <w:r>
        <w:t xml:space="preserve">. </w:t>
      </w:r>
    </w:p>
    <w:p w14:paraId="0F32D099" w14:textId="4B318899" w:rsidR="0066009A" w:rsidRDefault="0066009A" w:rsidP="00D84D95">
      <w:r>
        <w:t>In the current fiscal</w:t>
      </w:r>
      <w:r w:rsidR="00001D1F">
        <w:t>’s first four months</w:t>
      </w:r>
      <w:r>
        <w:t xml:space="preserve">, </w:t>
      </w:r>
      <w:r w:rsidR="00001D1F">
        <w:t xml:space="preserve">with 10,227 units and 8.51% UV share, </w:t>
      </w:r>
      <w:r>
        <w:t xml:space="preserve">the </w:t>
      </w:r>
      <w:proofErr w:type="spellStart"/>
      <w:r>
        <w:t>Curvv</w:t>
      </w:r>
      <w:proofErr w:type="spellEnd"/>
      <w:r>
        <w:t xml:space="preserve"> is the company’s third highest-selling SUV after the Nexon </w:t>
      </w:r>
      <w:r w:rsidR="00001D1F">
        <w:t xml:space="preserve">(52,980 units, 44% UV share) </w:t>
      </w:r>
      <w:r>
        <w:t>and the Punch</w:t>
      </w:r>
      <w:r w:rsidR="00001D1F">
        <w:t xml:space="preserve"> (46,860 units, 39% UV share)</w:t>
      </w:r>
      <w:r>
        <w:t xml:space="preserve">, and ahead of the Harrier </w:t>
      </w:r>
      <w:r w:rsidR="00001D1F">
        <w:t xml:space="preserve">(5,381 units, 4.48% UV share) </w:t>
      </w:r>
      <w:r>
        <w:t xml:space="preserve">and </w:t>
      </w:r>
      <w:r w:rsidR="00001D1F">
        <w:t xml:space="preserve">the </w:t>
      </w:r>
      <w:r>
        <w:t>Safari</w:t>
      </w:r>
      <w:r w:rsidR="00001D1F">
        <w:t xml:space="preserve"> (4,614 units, 3.84% UV share)</w:t>
      </w:r>
      <w:r>
        <w:t xml:space="preserve">. </w:t>
      </w:r>
      <w:r w:rsidR="00001D1F">
        <w:t xml:space="preserve">Its highest monthly sale in FY2026 (April-July 2025) has been the 3,149 units in April 2025. </w:t>
      </w:r>
    </w:p>
    <w:p w14:paraId="1FBFAF3C" w14:textId="123A89AE" w:rsidR="00D84D95" w:rsidRPr="00D84D95" w:rsidRDefault="00D84D95" w:rsidP="00D84D95">
      <w:r w:rsidRPr="00D84D95">
        <w:rPr>
          <w:noProof/>
        </w:rPr>
        <w:drawing>
          <wp:inline distT="0" distB="0" distL="0" distR="0" wp14:anchorId="27188CA0" wp14:editId="7646AFAE">
            <wp:extent cx="3201474" cy="2432140"/>
            <wp:effectExtent l="0" t="0" r="0" b="6350"/>
            <wp:docPr id="14478533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58" cy="24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523">
        <w:rPr>
          <w:i/>
          <w:iCs/>
        </w:rPr>
        <w:br/>
      </w:r>
      <w:r w:rsidRPr="00D84D95">
        <w:rPr>
          <w:i/>
          <w:iCs/>
        </w:rPr>
        <w:t xml:space="preserve">The ICE </w:t>
      </w:r>
      <w:proofErr w:type="spellStart"/>
      <w:r w:rsidRPr="00D84D95">
        <w:rPr>
          <w:i/>
          <w:iCs/>
        </w:rPr>
        <w:t>Curvv</w:t>
      </w:r>
      <w:proofErr w:type="spellEnd"/>
      <w:r w:rsidRPr="00D84D95">
        <w:rPr>
          <w:i/>
          <w:iCs/>
        </w:rPr>
        <w:t xml:space="preserve"> is available with three options – two petrol and one diesel.</w:t>
      </w:r>
    </w:p>
    <w:p w14:paraId="17B26671" w14:textId="796EBEAB" w:rsidR="00D84D95" w:rsidRPr="00D84D95" w:rsidRDefault="00D84D95" w:rsidP="00D84D95">
      <w:r w:rsidRPr="00D84D95">
        <w:t xml:space="preserve">The ICE </w:t>
      </w:r>
      <w:proofErr w:type="spellStart"/>
      <w:r w:rsidRPr="00D84D95">
        <w:t>Curvv</w:t>
      </w:r>
      <w:proofErr w:type="spellEnd"/>
      <w:r w:rsidRPr="00D84D95">
        <w:t xml:space="preserve">, with has </w:t>
      </w:r>
      <w:r w:rsidR="00001D1F">
        <w:t xml:space="preserve">all of </w:t>
      </w:r>
      <w:r w:rsidR="001647AD">
        <w:t>5</w:t>
      </w:r>
      <w:r w:rsidR="00001D1F">
        <w:t xml:space="preserve">0 </w:t>
      </w:r>
      <w:r w:rsidRPr="00D84D95">
        <w:t>variants on sale</w:t>
      </w:r>
      <w:r w:rsidR="00001D1F">
        <w:t xml:space="preserve"> – </w:t>
      </w:r>
      <w:r w:rsidR="001647AD">
        <w:t xml:space="preserve">24 petrol, 18 diesel and 8 </w:t>
      </w:r>
      <w:proofErr w:type="gramStart"/>
      <w:r w:rsidR="001647AD">
        <w:t>electric</w:t>
      </w:r>
      <w:proofErr w:type="gramEnd"/>
      <w:r w:rsidRPr="00D84D95">
        <w:t xml:space="preserve"> has a starting on-road price of Rs 12.</w:t>
      </w:r>
      <w:r w:rsidR="001647AD">
        <w:t>20</w:t>
      </w:r>
      <w:r w:rsidRPr="00D84D95">
        <w:t xml:space="preserve"> lakh (on-road Mumbai) for the base 1.2 Smart petrol variant and goes up to Rs 23.</w:t>
      </w:r>
      <w:r w:rsidR="001647AD">
        <w:t>5</w:t>
      </w:r>
      <w:r w:rsidRPr="00D84D95">
        <w:t xml:space="preserve">0 </w:t>
      </w:r>
      <w:r w:rsidR="001647AD">
        <w:t xml:space="preserve">lakh </w:t>
      </w:r>
      <w:r w:rsidRPr="00D84D95">
        <w:t xml:space="preserve">for the top-end 1.5 Accomplished+ A </w:t>
      </w:r>
      <w:r w:rsidR="001647AD">
        <w:t xml:space="preserve">Dark </w:t>
      </w:r>
      <w:r w:rsidRPr="00D84D95">
        <w:t>DCT diesel variant. </w:t>
      </w:r>
      <w:r w:rsidR="001647AD">
        <w:t xml:space="preserve">The </w:t>
      </w:r>
      <w:proofErr w:type="spellStart"/>
      <w:r w:rsidR="001647AD">
        <w:t>Curvv</w:t>
      </w:r>
      <w:proofErr w:type="spellEnd"/>
      <w:r w:rsidR="001647AD">
        <w:t xml:space="preserve"> EV’s pricing starts at Rs 18.95 lakh and goes upward to Rs 23.55 lakh (on-road Mumbai). </w:t>
      </w:r>
    </w:p>
    <w:p w14:paraId="3210C821" w14:textId="07DA8C26" w:rsidR="00D84D95" w:rsidRPr="00D84D95" w:rsidRDefault="00D84D95" w:rsidP="00D84D95">
      <w:r w:rsidRPr="00D84D95">
        <w:t xml:space="preserve">This grown-up sibling of the Tata Nexon goes head-to-head with the Citroen Basalt (which has sold an estimated </w:t>
      </w:r>
      <w:r w:rsidR="001647AD">
        <w:t>553</w:t>
      </w:r>
      <w:r w:rsidRPr="00D84D95">
        <w:t xml:space="preserve"> units in </w:t>
      </w:r>
      <w:r w:rsidR="001647AD">
        <w:t>April-July 2025 and a total of 2,018 units since launch</w:t>
      </w:r>
      <w:r w:rsidRPr="00D84D95">
        <w:t xml:space="preserve">), and aims to disrupt </w:t>
      </w:r>
      <w:r w:rsidRPr="00D84D95">
        <w:lastRenderedPageBreak/>
        <w:t xml:space="preserve">the midsize SUV segment as an alternative to the Hyundai Creta, Maruti Grand Vitara, Kia </w:t>
      </w:r>
      <w:proofErr w:type="spellStart"/>
      <w:r w:rsidRPr="00D84D95">
        <w:t>Seltos</w:t>
      </w:r>
      <w:proofErr w:type="spellEnd"/>
      <w:r w:rsidRPr="00D84D95">
        <w:t xml:space="preserve">, Toyota </w:t>
      </w:r>
      <w:proofErr w:type="spellStart"/>
      <w:r w:rsidRPr="00D84D95">
        <w:t>Hyryder</w:t>
      </w:r>
      <w:proofErr w:type="spellEnd"/>
      <w:r w:rsidRPr="00D84D95">
        <w:t xml:space="preserve">, MG Astor Honda Elevate, Skoda </w:t>
      </w:r>
      <w:proofErr w:type="spellStart"/>
      <w:r w:rsidRPr="00D84D95">
        <w:t>Kushaq</w:t>
      </w:r>
      <w:proofErr w:type="spellEnd"/>
      <w:r w:rsidRPr="00D84D95">
        <w:t xml:space="preserve"> and the Volkswagen </w:t>
      </w:r>
      <w:proofErr w:type="spellStart"/>
      <w:r w:rsidRPr="00D84D95">
        <w:t>Taigun</w:t>
      </w:r>
      <w:proofErr w:type="spellEnd"/>
      <w:r w:rsidRPr="00D84D95">
        <w:t xml:space="preserve"> as its main rivals.</w:t>
      </w:r>
    </w:p>
    <w:p w14:paraId="48DA73FA" w14:textId="77777777" w:rsidR="00D84D95" w:rsidRPr="00D84D95" w:rsidRDefault="00D84D95" w:rsidP="00D84D95">
      <w:r w:rsidRPr="00D84D95">
        <w:t xml:space="preserve">Developed on Tata Motors’ new ATLAS platform, the ICE </w:t>
      </w:r>
      <w:proofErr w:type="spellStart"/>
      <w:r w:rsidRPr="00D84D95">
        <w:t>Curvv</w:t>
      </w:r>
      <w:proofErr w:type="spellEnd"/>
      <w:r w:rsidRPr="00D84D95">
        <w:t xml:space="preserve"> is available with three options – a 120hp, 170 Nm, 1.2-litre, three-cylinder diesel engine which delivers 118hp, and a </w:t>
      </w:r>
      <w:hyperlink r:id="rId8" w:history="1">
        <w:r w:rsidRPr="00D84D95">
          <w:rPr>
            <w:rStyle w:val="Hyperlink"/>
            <w:b/>
            <w:bCs/>
          </w:rPr>
          <w:t>new 1.2-litre DI turbo-petrol ‘Hyperion’ engine which produces 125hp and 225 Nm</w:t>
        </w:r>
      </w:hyperlink>
      <w:r w:rsidRPr="00D84D95">
        <w:t>. All three powerplants get a six-speed manual transmission as standard fitment, while a seven-speed dual-clutch automatic is offered as an option.</w:t>
      </w:r>
    </w:p>
    <w:p w14:paraId="7FA01D6D" w14:textId="77777777" w:rsidR="00D84D95" w:rsidRPr="00D84D95" w:rsidRDefault="00D84D95" w:rsidP="00D84D95">
      <w:r w:rsidRPr="00D84D95">
        <w:t xml:space="preserve">The Tata </w:t>
      </w:r>
      <w:proofErr w:type="spellStart"/>
      <w:r w:rsidRPr="00D84D95">
        <w:t>Curvv</w:t>
      </w:r>
      <w:proofErr w:type="spellEnd"/>
      <w:r w:rsidRPr="00D84D95">
        <w:t>’ interiors, barring minuscule changes like a dual-tone burgundy-and-black theme, are from siblings Nexon and Nexon EV – the dashboard design and centre console are the same, while the four-spoke steering is from the Harrier and Safari SUVs.</w:t>
      </w:r>
    </w:p>
    <w:p w14:paraId="3C95D61C" w14:textId="77777777" w:rsidR="00D84D95" w:rsidRPr="00D84D95" w:rsidRDefault="00D84D95" w:rsidP="00D84D95">
      <w:r w:rsidRPr="00D84D95">
        <w:t xml:space="preserve">The </w:t>
      </w:r>
      <w:proofErr w:type="spellStart"/>
      <w:r w:rsidRPr="00D84D95">
        <w:t>Curvv</w:t>
      </w:r>
      <w:proofErr w:type="spellEnd"/>
      <w:r w:rsidRPr="00D84D95">
        <w:t xml:space="preserve"> does well on the feature front with a segment-first powered tailgate with gesture control, 18-inch alloy wheels, flush door handles, a 12.3-inch touchscreen infotainment system, a fully digital driver’s display, a panoramic sunroof, reclining rear seat, and ventilated front seats. The </w:t>
      </w:r>
      <w:proofErr w:type="spellStart"/>
      <w:r w:rsidRPr="00D84D95">
        <w:t>Curvv’s</w:t>
      </w:r>
      <w:proofErr w:type="spellEnd"/>
      <w:r w:rsidRPr="00D84D95">
        <w:t xml:space="preserve"> safety suite consists of six airbags, Level 2 ADAS, ESC, disc brakes on all four wheels, TPMS, a 360-degree camera, an electronic parking brake with auto-hold, and more.</w:t>
      </w:r>
    </w:p>
    <w:p w14:paraId="5B43BF38" w14:textId="747E4113" w:rsidR="00D84D95" w:rsidRPr="00D84D95" w:rsidRDefault="00D84D95" w:rsidP="00D84D95">
      <w:r w:rsidRPr="00D84D95">
        <w:rPr>
          <w:noProof/>
        </w:rPr>
        <w:drawing>
          <wp:inline distT="0" distB="0" distL="0" distR="0" wp14:anchorId="73D7AF83" wp14:editId="0416B5BC">
            <wp:extent cx="5731510" cy="2913380"/>
            <wp:effectExtent l="0" t="0" r="2540" b="1270"/>
            <wp:docPr id="11337232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B962" w14:textId="77777777" w:rsidR="00D84D95" w:rsidRPr="00D84D95" w:rsidRDefault="00D84D95" w:rsidP="00D84D95">
      <w:r w:rsidRPr="00D84D95">
        <w:t> </w:t>
      </w:r>
    </w:p>
    <w:p w14:paraId="5DDE6875" w14:textId="5D874082" w:rsidR="00D84D95" w:rsidRPr="00D84D95" w:rsidRDefault="00D84D95" w:rsidP="00D84D95">
      <w:r w:rsidRPr="00D84D95">
        <w:t xml:space="preserve">Since the </w:t>
      </w:r>
      <w:proofErr w:type="spellStart"/>
      <w:r w:rsidRPr="00D84D95">
        <w:t>Curvv</w:t>
      </w:r>
      <w:proofErr w:type="spellEnd"/>
      <w:r w:rsidRPr="00D84D95">
        <w:t xml:space="preserve"> EV’s launch in August</w:t>
      </w:r>
      <w:r w:rsidR="001647AD">
        <w:t xml:space="preserve"> 2024</w:t>
      </w:r>
      <w:r w:rsidRPr="00D84D95">
        <w:t xml:space="preserve">, Tata Motors has sold </w:t>
      </w:r>
      <w:r w:rsidR="001647AD">
        <w:t xml:space="preserve">66,025 </w:t>
      </w:r>
      <w:r w:rsidRPr="00D84D95">
        <w:t xml:space="preserve">EVs in the past </w:t>
      </w:r>
      <w:r w:rsidR="001647AD">
        <w:t>12</w:t>
      </w:r>
      <w:r w:rsidRPr="00D84D95">
        <w:t xml:space="preserve"> months.</w:t>
      </w:r>
      <w:r w:rsidR="001647AD">
        <w:t xml:space="preserve"> However, the </w:t>
      </w:r>
      <w:proofErr w:type="spellStart"/>
      <w:r w:rsidRPr="00D84D95">
        <w:t>Curvv</w:t>
      </w:r>
      <w:proofErr w:type="spellEnd"/>
      <w:r w:rsidRPr="00D84D95">
        <w:t xml:space="preserve"> EV’s specific share of Tata EV wholesales is not available.</w:t>
      </w:r>
    </w:p>
    <w:p w14:paraId="385A4B03" w14:textId="28C292F8" w:rsidR="00D84D95" w:rsidRPr="00D84D95" w:rsidRDefault="00D84D95" w:rsidP="00D84D95">
      <w:r w:rsidRPr="00D84D95">
        <w:t xml:space="preserve">The </w:t>
      </w:r>
      <w:proofErr w:type="spellStart"/>
      <w:r w:rsidRPr="00D84D95">
        <w:t>Curvv</w:t>
      </w:r>
      <w:proofErr w:type="spellEnd"/>
      <w:r w:rsidRPr="00D84D95">
        <w:t xml:space="preserve"> EV has two battery pack options: a 40.5kWh unit for the Creative, Accomplished and Accomplished+ variants, and a 55kWh one for the Accomplished, </w:t>
      </w:r>
      <w:proofErr w:type="gramStart"/>
      <w:r w:rsidRPr="00D84D95">
        <w:t>Accomplished</w:t>
      </w:r>
      <w:proofErr w:type="gramEnd"/>
      <w:r w:rsidRPr="00D84D95">
        <w:t xml:space="preserve">+ S, </w:t>
      </w:r>
      <w:proofErr w:type="gramStart"/>
      <w:r w:rsidRPr="00D84D95">
        <w:t>Empowered</w:t>
      </w:r>
      <w:proofErr w:type="gramEnd"/>
      <w:r w:rsidRPr="00D84D95">
        <w:t xml:space="preserve">+, and Empowered+ A variants. While the former has an MIDC range of 502km, the latter can travel 585km on a single charge. Tata Motors claims that its own C75 standard of testing (which is closer to a real-world figure) will see the long-range model go 400-425km on a single charge, while the 45kWh </w:t>
      </w:r>
      <w:proofErr w:type="spellStart"/>
      <w:r w:rsidRPr="00D84D95">
        <w:t>Curvv</w:t>
      </w:r>
      <w:proofErr w:type="spellEnd"/>
      <w:r w:rsidRPr="00D84D95">
        <w:t xml:space="preserve"> EV has a range of 330-350km. For reference, the MG ZS EV's 50.3kWh unit has an ARAI-rated 461km.</w:t>
      </w:r>
    </w:p>
    <w:p w14:paraId="45771C4C" w14:textId="7BA48F48" w:rsidR="00D84D95" w:rsidRPr="00D84D95" w:rsidRDefault="00D84D95" w:rsidP="00D84D95">
      <w:r w:rsidRPr="00D84D95">
        <w:t xml:space="preserve">All variants get a 167hp electric motor mounted on the front axle, enabling the </w:t>
      </w:r>
      <w:proofErr w:type="spellStart"/>
      <w:r w:rsidRPr="00D84D95">
        <w:t>Curvv</w:t>
      </w:r>
      <w:proofErr w:type="spellEnd"/>
      <w:r w:rsidRPr="00D84D95">
        <w:t xml:space="preserve"> EV to accelerate from 0-100kph in 8.6 seconds and hit a top speed of 160kph. Tata claims that the battery </w:t>
      </w:r>
      <w:r w:rsidRPr="00D84D95">
        <w:lastRenderedPageBreak/>
        <w:t xml:space="preserve">can get up to 150km worth of charge in just 15 minutes, and 10-80% charge in 40 minutes, on a 70kW charger. The </w:t>
      </w:r>
      <w:proofErr w:type="spellStart"/>
      <w:r w:rsidRPr="00D84D95">
        <w:t>iRA</w:t>
      </w:r>
      <w:proofErr w:type="spellEnd"/>
      <w:r w:rsidRPr="00D84D95">
        <w:t xml:space="preserve"> app is said to have an integrated charge point and the model comes with vehicle-to-load (V2L) and vehicle to vehicle (V2V) charging capabilities. </w:t>
      </w:r>
      <w:r w:rsidRPr="00D84D95">
        <w:br/>
        <w:t>(With inputs from</w:t>
      </w:r>
      <w:r w:rsidRPr="00D84D95">
        <w:rPr>
          <w:i/>
          <w:iCs/>
        </w:rPr>
        <w:t> Autocar India</w:t>
      </w:r>
      <w:r w:rsidRPr="00D84D95">
        <w:t>)</w:t>
      </w:r>
    </w:p>
    <w:p w14:paraId="35B4B009" w14:textId="77777777" w:rsidR="001647AD" w:rsidRDefault="001647AD" w:rsidP="001647AD"/>
    <w:p w14:paraId="6FD2189E" w14:textId="77777777" w:rsidR="001647AD" w:rsidRDefault="001647AD" w:rsidP="001647AD">
      <w:r>
        <w:t xml:space="preserve">Tata UV sales </w:t>
      </w:r>
      <w:r>
        <w:br/>
        <w:t>August 2024-March 2025: 298,018</w:t>
      </w:r>
    </w:p>
    <w:p w14:paraId="6A074CF2" w14:textId="77777777" w:rsidR="001647AD" w:rsidRDefault="001647AD" w:rsidP="001647AD">
      <w:proofErr w:type="spellStart"/>
      <w:r>
        <w:t>Curvv</w:t>
      </w:r>
      <w:proofErr w:type="spellEnd"/>
      <w:r>
        <w:t xml:space="preserve"> share: 9.58%</w:t>
      </w:r>
    </w:p>
    <w:p w14:paraId="351FE151" w14:textId="77777777" w:rsidR="001647AD" w:rsidRDefault="001647AD" w:rsidP="001647AD">
      <w:r>
        <w:t>April-July 2025: 163,360</w:t>
      </w:r>
      <w:r>
        <w:br/>
        <w:t>Total: 461,378 PVs</w:t>
      </w:r>
    </w:p>
    <w:p w14:paraId="2313AE81" w14:textId="77777777" w:rsidR="001647AD" w:rsidRDefault="001647AD" w:rsidP="001647AD"/>
    <w:p w14:paraId="451A48AE" w14:textId="77777777" w:rsidR="001647AD" w:rsidRDefault="001647AD" w:rsidP="001647AD">
      <w:r>
        <w:t>PV sales in past 12: 534,116 PVs</w:t>
      </w:r>
      <w:r>
        <w:br/>
      </w:r>
      <w:proofErr w:type="spellStart"/>
      <w:r>
        <w:t>Curvv</w:t>
      </w:r>
      <w:proofErr w:type="spellEnd"/>
      <w:r>
        <w:t xml:space="preserve"> share: 8.28%</w:t>
      </w:r>
    </w:p>
    <w:p w14:paraId="708E3E9B" w14:textId="77777777" w:rsidR="00C22367" w:rsidRPr="00D84D95" w:rsidRDefault="00C22367" w:rsidP="00D84D95"/>
    <w:sectPr w:rsidR="00C22367" w:rsidRPr="00D8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76"/>
    <w:rsid w:val="00001D1F"/>
    <w:rsid w:val="001647AD"/>
    <w:rsid w:val="00267016"/>
    <w:rsid w:val="00292591"/>
    <w:rsid w:val="00315C12"/>
    <w:rsid w:val="00333C6E"/>
    <w:rsid w:val="00483D6B"/>
    <w:rsid w:val="005B1ECB"/>
    <w:rsid w:val="005B3D68"/>
    <w:rsid w:val="0066009A"/>
    <w:rsid w:val="00701FB1"/>
    <w:rsid w:val="007266B3"/>
    <w:rsid w:val="00885523"/>
    <w:rsid w:val="008D62C3"/>
    <w:rsid w:val="0093432C"/>
    <w:rsid w:val="00980D76"/>
    <w:rsid w:val="00C22367"/>
    <w:rsid w:val="00D84D95"/>
    <w:rsid w:val="00ED323D"/>
    <w:rsid w:val="00F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E091"/>
  <w15:chartTrackingRefBased/>
  <w15:docId w15:val="{6E47DE12-4849-4328-9F25-812DA881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D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D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D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D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D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carpro.in/feature/tata-curvv-targets-mid-size-suv-market-with-advanced-12-gdi-powertrain-12364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ocarpro.in/news/tata-motors-launches-curvv-at-introductory-price-of-rs-10-lakh--1223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tocarpro.in/news/tata-curvv-ev-priced-at-rs-1749-lakh-1219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Dalvi</dc:creator>
  <cp:keywords/>
  <dc:description/>
  <cp:lastModifiedBy>Ajit Dalvi</cp:lastModifiedBy>
  <cp:revision>4</cp:revision>
  <dcterms:created xsi:type="dcterms:W3CDTF">2025-08-11T14:30:00Z</dcterms:created>
  <dcterms:modified xsi:type="dcterms:W3CDTF">2025-08-11T14:31:00Z</dcterms:modified>
</cp:coreProperties>
</file>